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highlight w:val="yellow"/>
        </w:rPr>
      </w:pPr>
      <w:bookmarkStart w:id="0" w:name="_GoBack"/>
      <w:bookmarkEnd w:id="0"/>
    </w:p>
    <w:p>
      <w:pPr>
        <w:ind w:left="7080"/>
        <w:rPr>
          <w:rFonts w:ascii="Verdana" w:hAnsi="Verdana"/>
          <w:highlight w:val="yellow"/>
        </w:rPr>
      </w:pPr>
    </w:p>
    <w:p>
      <w:pPr>
        <w:ind w:left="7080"/>
        <w:rPr>
          <w:rFonts w:ascii="Verdana" w:hAnsi="Verdana"/>
          <w:highlight w:val="yellow"/>
        </w:rPr>
      </w:pPr>
    </w:p>
    <w:p>
      <w:pPr>
        <w:ind w:left="5664"/>
        <w:rPr>
          <w:rFonts w:ascii="Verdana" w:hAnsi="Verdana"/>
        </w:rPr>
      </w:pPr>
      <w:r>
        <w:rPr>
          <w:rFonts w:ascii="Verdana" w:hAnsi="Verdana"/>
        </w:rPr>
        <w:t>DATE : 12 novembre 2020</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PREMIER APPEL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A CANDIDATURES A UNE FONCTION DE DIRECTEUR (H/F/X)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DANS UNE ECOLE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SECONDAIRE ORDINAIRE</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ADMISSION AU STAGE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du P.O.</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Wallonie Bruxelles Enseignement (WBE)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pPr>
        <w:pBdr>
          <w:top w:val="single" w:sz="4" w:space="1" w:color="000000"/>
          <w:left w:val="single" w:sz="4" w:space="4" w:color="000000"/>
          <w:bottom w:val="single" w:sz="4" w:space="1" w:color="000000"/>
          <w:right w:val="single" w:sz="4" w:space="4" w:color="000000"/>
        </w:pBdr>
      </w:pPr>
      <w:r>
        <w:rPr>
          <w:rFonts w:ascii="Verdana" w:hAnsi="Verdana"/>
        </w:rPr>
        <w:t xml:space="preserve">Adresse électronique : </w:t>
      </w:r>
      <w:hyperlink r:id="rId9">
        <w:r>
          <w:rPr>
            <w:rStyle w:val="LienInternet"/>
            <w:rFonts w:ascii="Verdana" w:hAnsi="Verdana"/>
          </w:rPr>
          <w:t>selection.promotion(at)w-b-e.be</w:t>
        </w:r>
      </w:hyperlink>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 https://www.w-b-e.be/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de l'école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Nom : Athénée Royal Léonardo Da Vinci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Rue Chomé-Wyns 5, 1070 Anderlecht</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w:t>
      </w:r>
      <w:r>
        <w:t xml:space="preserve"> </w:t>
      </w:r>
      <w:hyperlink r:id="rId10" w:history="1">
        <w:r>
          <w:rPr>
            <w:rFonts w:ascii="Verdana" w:hAnsi="Verdana"/>
          </w:rPr>
          <w:t>https://arldv.be/</w:t>
        </w:r>
      </w:hyperlink>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rPr>
        <w:t>Date présumée d’entrée en fonction</w:t>
      </w:r>
      <w:r>
        <w:rPr>
          <w:rFonts w:ascii="Verdana" w:hAnsi="Verdana"/>
        </w:rPr>
        <w:t> : 1</w:t>
      </w:r>
      <w:r>
        <w:rPr>
          <w:rFonts w:ascii="Verdana" w:hAnsi="Verdana"/>
          <w:vertAlign w:val="superscript"/>
        </w:rPr>
        <w:t>er</w:t>
      </w:r>
      <w:r>
        <w:rPr>
          <w:rFonts w:ascii="Verdana" w:hAnsi="Verdana"/>
        </w:rPr>
        <w:t xml:space="preserve"> février 2021</w:t>
      </w: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L’Athénée royal Leonardo Da Vinci est née de la fusion en 2002 de l’ITCF Chomé Wyns et de l’AR Bordet. Située au centre de la commune d’Anderlecht, elle est à proximité de la gare de Bruxelles-Midi.</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Les formations proposées sont les suivantes :</w:t>
      </w:r>
      <w:r>
        <w:rPr>
          <w:rFonts w:ascii="Verdana" w:hAnsi="Verdana"/>
        </w:rPr>
        <w:tab/>
        <w:t xml:space="preserve"> </w:t>
      </w:r>
      <w:r>
        <w:rPr>
          <w:rFonts w:ascii="Verdana" w:hAnsi="Verdana"/>
        </w:rPr>
        <w:br/>
        <w:t>- Premier degré commun (1ère et 2ème et année supplémentaire) ;</w:t>
      </w:r>
      <w:r>
        <w:rPr>
          <w:rFonts w:ascii="Verdana" w:hAnsi="Verdana"/>
        </w:rPr>
        <w:tab/>
      </w:r>
      <w:r>
        <w:rPr>
          <w:rFonts w:ascii="Verdana" w:hAnsi="Verdana"/>
        </w:rPr>
        <w:br/>
        <w:t>- Premier degré différencié ;</w:t>
      </w:r>
      <w:r>
        <w:rPr>
          <w:rFonts w:ascii="Verdana" w:hAnsi="Verdana"/>
        </w:rPr>
        <w:tab/>
      </w:r>
      <w:r>
        <w:rPr>
          <w:rFonts w:ascii="Verdana" w:hAnsi="Verdana"/>
        </w:rPr>
        <w:br/>
        <w:t>- Classes de DASPA ;</w:t>
      </w:r>
      <w:r>
        <w:rPr>
          <w:rFonts w:ascii="Verdana" w:hAnsi="Verdana"/>
        </w:rPr>
        <w:tab/>
      </w:r>
      <w:r>
        <w:rPr>
          <w:rFonts w:ascii="Verdana" w:hAnsi="Verdana"/>
        </w:rPr>
        <w:br/>
        <w:t>- Formation commune générale aux 2ème et 3ème degrés (Sciences, Sciences économiques, FLE) ;</w:t>
      </w:r>
      <w:r>
        <w:rPr>
          <w:rFonts w:ascii="Verdana" w:hAnsi="Verdana"/>
        </w:rPr>
        <w:tab/>
      </w:r>
      <w:r>
        <w:rPr>
          <w:rFonts w:ascii="Verdana" w:hAnsi="Verdana"/>
        </w:rPr>
        <w:br/>
        <w:t xml:space="preserve">- Formations qualifiantes : TQ automaticien, TQ électromécanicien, Prof Arts et assistants décorateurs, Prof. Électricité, Prof. Sanitaire chauffage, Prof. Mécanique garage.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Les infrastructures de l’école :</w:t>
      </w:r>
      <w:r>
        <w:rPr>
          <w:rFonts w:ascii="Verdana" w:hAnsi="Verdana"/>
        </w:rPr>
        <w:t xml:space="preserve"> </w:t>
      </w:r>
      <w:r>
        <w:rPr>
          <w:rFonts w:ascii="Verdana" w:hAnsi="Verdana"/>
        </w:rPr>
        <w:tab/>
      </w:r>
      <w:r>
        <w:rPr>
          <w:rFonts w:ascii="Verdana" w:hAnsi="Verdana"/>
        </w:rPr>
        <w:br/>
        <w:t>L’école dispose de deux salles de sport, une salle de fitness, un laboratoire de langues, un laboratoire scientifique, des ateliers modernisés pour les cours de mécanique, électricité et plomberie-chauffage, un auditorium de grande capacité, un restaurant scolaire avec self-service. Des rénovations sont planifiées grâce à un partenariat avec la région (Perspective Brussels) et la commune. Il s’agit d’ouvrir l’école sur le quartier, favoriser la culture (théâtre résident Pierre de Lune) et d’offrir un cadre de vie verdoyant aux élèves et aux enseignants.</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Caractéristiques de la population scolaire :</w:t>
      </w:r>
      <w:r>
        <w:rPr>
          <w:rFonts w:ascii="Verdana" w:hAnsi="Verdana"/>
        </w:rPr>
        <w:tab/>
      </w:r>
      <w:r>
        <w:rPr>
          <w:rFonts w:ascii="Verdana" w:hAnsi="Verdana"/>
        </w:rPr>
        <w:br/>
        <w:t xml:space="preserve">Le public de l’école est multiculturel, certains élèves sont issus d’une immigration récente. L’indice socio-économique des familles est faible.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Caractéristiques pédagogique de l’établissement</w:t>
      </w:r>
      <w:r>
        <w:rPr>
          <w:rFonts w:ascii="Verdana" w:hAnsi="Verdana"/>
        </w:rPr>
        <w:t xml:space="preserve"> : </w:t>
      </w:r>
      <w:r>
        <w:rPr>
          <w:rFonts w:ascii="Verdana" w:hAnsi="Verdana"/>
          <w:i/>
        </w:rPr>
        <w:tab/>
      </w:r>
      <w:r>
        <w:rPr>
          <w:rFonts w:ascii="Verdana" w:hAnsi="Verdana"/>
          <w:i/>
        </w:rPr>
        <w:br/>
      </w:r>
      <w:r>
        <w:rPr>
          <w:rFonts w:ascii="Verdana" w:hAnsi="Verdana"/>
        </w:rPr>
        <w:t>Le travail de la direction et de l’équipe pédagogique vise :</w:t>
      </w:r>
      <w:r>
        <w:rPr>
          <w:rFonts w:ascii="Verdana" w:hAnsi="Verdana"/>
        </w:rPr>
        <w:tab/>
      </w:r>
      <w:r>
        <w:rPr>
          <w:rFonts w:ascii="Verdana" w:hAnsi="Verdana"/>
        </w:rPr>
        <w:br/>
        <w:t>- à assurer la transmission d’une formation générale ;</w:t>
      </w:r>
      <w:r>
        <w:rPr>
          <w:rFonts w:ascii="Verdana" w:hAnsi="Verdana"/>
        </w:rPr>
        <w:tab/>
      </w:r>
      <w:r>
        <w:rPr>
          <w:rFonts w:ascii="Verdana" w:hAnsi="Verdana"/>
        </w:rPr>
        <w:br/>
        <w:t>- aider les élèves à construire un projet de vie ;</w:t>
      </w:r>
      <w:r>
        <w:rPr>
          <w:rFonts w:ascii="Verdana" w:hAnsi="Verdana"/>
        </w:rPr>
        <w:tab/>
        <w:t xml:space="preserve"> </w:t>
      </w:r>
      <w:r>
        <w:rPr>
          <w:rFonts w:ascii="Verdana" w:hAnsi="Verdana"/>
        </w:rPr>
        <w:br/>
        <w:t>- lutter contre le décrochage scolaire ;</w:t>
      </w:r>
      <w:r>
        <w:rPr>
          <w:rFonts w:ascii="Verdana" w:hAnsi="Verdana"/>
        </w:rPr>
        <w:tab/>
      </w:r>
      <w:r>
        <w:rPr>
          <w:rFonts w:ascii="Verdana" w:hAnsi="Verdana"/>
        </w:rPr>
        <w:br/>
        <w:t>- enseigner le français (souvent, il ne s’agit pas de la langue maternelle).</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Le plan de pilotage est axé sur l’amélioration du climat scolaire à travers une série de stratégies concrètes notamment par l’insertion des outils numériques dans les apprentissages.</w:t>
      </w:r>
    </w:p>
    <w:p/>
    <w:p>
      <w:pPr>
        <w:pBdr>
          <w:top w:val="single" w:sz="4" w:space="0" w:color="000000"/>
          <w:left w:val="single" w:sz="4" w:space="4" w:color="000000"/>
          <w:bottom w:val="single" w:sz="4" w:space="0" w:color="000000"/>
          <w:right w:val="single" w:sz="4" w:space="4" w:color="000000"/>
        </w:pBdr>
        <w:rPr>
          <w:rFonts w:ascii="Verdana" w:hAnsi="Verdana" w:cs="Arial"/>
          <w:b/>
          <w:bCs/>
          <w:color w:val="000000" w:themeColor="text1"/>
          <w:u w:val="double"/>
        </w:rPr>
      </w:pPr>
      <w:r>
        <w:rPr>
          <w:rFonts w:ascii="Verdana" w:hAnsi="Verdana" w:cs="Arial"/>
          <w:b/>
          <w:bCs/>
          <w:color w:val="000000" w:themeColor="text1"/>
          <w:u w:val="double"/>
        </w:rPr>
        <w:t>Nature de l’emploi :</w:t>
      </w:r>
      <w:r>
        <w:rPr>
          <w:rFonts w:ascii="Verdana" w:hAnsi="Verdana"/>
        </w:rPr>
        <w:t xml:space="preserve"> emploi définitivement vacant.</w:t>
      </w:r>
    </w:p>
    <w:p>
      <w:pPr>
        <w:rPr>
          <w:rFonts w:ascii="Verdana" w:hAnsi="Verdana"/>
        </w:rPr>
      </w:pPr>
    </w:p>
    <w:p>
      <w:pPr>
        <w:pBdr>
          <w:top w:val="single" w:sz="4" w:space="0" w:color="000000"/>
          <w:left w:val="single" w:sz="4" w:space="4" w:color="000000"/>
          <w:bottom w:val="single" w:sz="4" w:space="0" w:color="000000"/>
          <w:right w:val="single" w:sz="4" w:space="4" w:color="000000"/>
        </w:pBdr>
        <w:rPr>
          <w:rFonts w:ascii="Verdana" w:hAnsi="Verdana" w:cs="Arial"/>
          <w:b/>
          <w:bCs/>
          <w:color w:val="000000" w:themeColor="text1"/>
          <w:u w:val="double"/>
        </w:rPr>
      </w:pPr>
      <w:r>
        <w:rPr>
          <w:rFonts w:ascii="Verdana" w:hAnsi="Verdana" w:cs="Arial"/>
          <w:b/>
          <w:color w:val="000000" w:themeColor="text1"/>
          <w:u w:val="single"/>
        </w:rPr>
        <w:t>Destinataires de l’appel :</w:t>
      </w:r>
      <w:r>
        <w:rPr>
          <w:rFonts w:ascii="Verdana" w:hAnsi="Verdana" w:cs="Arial"/>
          <w:b/>
          <w:color w:val="000000" w:themeColor="text1"/>
        </w:rPr>
        <w:t xml:space="preserve"> </w:t>
      </w:r>
      <w:r>
        <w:rPr>
          <w:rFonts w:ascii="Verdana" w:hAnsi="Verdana" w:cs="Arial"/>
          <w:color w:val="000000" w:themeColor="text1"/>
        </w:rPr>
        <w:t>Les membres du personnel exerçant leurs fonctions au sein de WBE.</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 </w:t>
      </w:r>
      <w:r>
        <w:rPr>
          <w:rFonts w:ascii="Verdana" w:hAnsi="Verdana"/>
        </w:rPr>
        <w:br/>
        <w:t>Annick Bratun, Préfète Coordonnatrice de la zone BXL</w:t>
      </w:r>
      <w:r>
        <w:rPr>
          <w:rFonts w:ascii="Verdana" w:hAnsi="Verdana"/>
        </w:rPr>
        <w:br/>
        <w:t>Email : annick.bratun(at)cfwb.be</w:t>
      </w:r>
    </w:p>
    <w:p>
      <w:pPr>
        <w:rPr>
          <w:rFonts w:ascii="Verdana" w:hAnsi="Verdana" w:cs="Arial"/>
          <w:b/>
          <w:color w:val="000000" w:themeColor="text1"/>
          <w:u w:val="single"/>
        </w:rPr>
      </w:pPr>
    </w:p>
    <w:p>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Les dossiers de candidature doivent être envoyés, au plus tard le 02 décembre 2020 (inclus).</w:t>
      </w:r>
    </w:p>
    <w:p>
      <w:pPr>
        <w:pBdr>
          <w:top w:val="single" w:sz="4" w:space="1" w:color="000000"/>
          <w:left w:val="single" w:sz="4" w:space="4" w:color="000000"/>
          <w:bottom w:val="single" w:sz="4" w:space="1" w:color="000000"/>
          <w:right w:val="single" w:sz="4" w:space="4" w:color="000000"/>
        </w:pBdr>
      </w:pPr>
      <w:r>
        <w:rPr>
          <w:rFonts w:ascii="Verdana" w:hAnsi="Verdana"/>
        </w:rPr>
        <w:t xml:space="preserve">- De préférence, par envoi électronique avec une demande d’accusé de réception et d’accusé de lecture : </w:t>
      </w:r>
      <w:r>
        <w:rPr>
          <w:rFonts w:ascii="Verdana" w:hAnsi="Verdana"/>
        </w:rPr>
        <w:br/>
        <w:t xml:space="preserve">Destinataire : </w:t>
      </w:r>
      <w:hyperlink r:id="rId11">
        <w:r>
          <w:rPr>
            <w:rStyle w:val="LienInternet"/>
            <w:rFonts w:ascii="Verdana" w:hAnsi="Verdana"/>
          </w:rPr>
          <w:t>selection.promotion(at)w-b-e.be</w:t>
        </w:r>
      </w:hyperlink>
      <w:r>
        <w:rPr>
          <w:rFonts w:ascii="Verdana" w:hAnsi="Verdana"/>
        </w:rPr>
        <w:br/>
        <w:t>Objet : WBE CE 2020 011</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Ou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Par recommandé ou déposés contre avis de réception à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Direction des ressources humaines : Service sélection et promotion de l’enseignement. </w:t>
      </w:r>
      <w:r>
        <w:rPr>
          <w:rFonts w:ascii="Verdana" w:hAnsi="Verdana"/>
        </w:rPr>
        <w:br/>
        <w:t>Wallonie Bruxelles Enseignement.</w:t>
      </w:r>
      <w:r>
        <w:rPr>
          <w:rFonts w:ascii="Verdana" w:hAnsi="Verdana"/>
        </w:rPr>
        <w:tab/>
      </w:r>
      <w:r>
        <w:rPr>
          <w:rFonts w:ascii="Verdana" w:hAnsi="Verdana"/>
        </w:rPr>
        <w:br/>
        <w:t xml:space="preserve">Boulevard du Jardin Botanique 20-22 à 1000 Bruxelles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r>
        <w:rPr>
          <w:rFonts w:ascii="Verdana" w:hAnsi="Verdana"/>
        </w:rPr>
        <w:br/>
        <w:t>- Un curriculum vitae rédigé en français et actualisé indiquant précisément les dates d’exercice des postes (jour, mois, année)</w:t>
      </w:r>
      <w:r>
        <w:rPr>
          <w:rFonts w:ascii="Verdana" w:hAnsi="Verdana"/>
        </w:rPr>
        <w:br/>
        <w:t>- Un formulaire de candidature complété pour  la fonction à pourvoir (annexe 3).</w:t>
      </w:r>
      <w:r>
        <w:rPr>
          <w:rFonts w:ascii="Verdana" w:hAnsi="Verdana"/>
        </w:rPr>
        <w:br/>
        <w:t>- Une copie du (ou des) diplôme(s) requis</w:t>
      </w:r>
      <w:r>
        <w:rPr>
          <w:rFonts w:ascii="Verdana" w:hAnsi="Verdana"/>
        </w:rPr>
        <w:br/>
        <w:t xml:space="preserve">- Un extrait de casier judiciaire 596.2 vierge daté de 3 mois maximum à partir de la publication de l’appel à candidatures.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 cas échéant, une copie des attestations de réussite obtenues dans le cadre de la formation initiale des directeurs/rices sera jointe au dossier de candidature. Celles-ci seront considérées comme un atout.</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pPr>
        <w:pBdr>
          <w:top w:val="single" w:sz="4" w:space="1" w:color="000000"/>
          <w:left w:val="single" w:sz="4" w:space="4" w:color="000000"/>
          <w:bottom w:val="single" w:sz="4" w:space="1" w:color="000000"/>
          <w:right w:val="single" w:sz="4" w:space="4" w:color="000000"/>
        </w:pBdr>
        <w:jc w:val="both"/>
      </w:pPr>
      <w:r>
        <w:rPr>
          <w:rFonts w:ascii="Verdana" w:hAnsi="Verdana"/>
        </w:rPr>
        <w:t>- Annexe 1 : Conditions d’accès à la fonction</w:t>
      </w:r>
      <w:r>
        <w:rPr>
          <w:rFonts w:ascii="Verdana" w:hAnsi="Verdana"/>
        </w:rPr>
        <w:tab/>
      </w:r>
      <w:r>
        <w:rPr>
          <w:rFonts w:ascii="Verdana" w:hAnsi="Verdana"/>
        </w:rPr>
        <w:br/>
        <w:t>- Annexe 2 : Profil de fonction établi par le Pouvoir organisateur.</w:t>
      </w:r>
      <w:r>
        <w:rPr>
          <w:rFonts w:ascii="Verdana" w:hAnsi="Verdana"/>
        </w:rPr>
        <w:tab/>
        <w:t xml:space="preserve"> </w:t>
      </w:r>
      <w:r>
        <w:rPr>
          <w:rFonts w:ascii="Verdana" w:hAnsi="Verdana"/>
        </w:rPr>
        <w:br/>
        <w:t xml:space="preserve">- Annexe 3 : Formulaire de candidatures (disponible en version électronique sur notre site internet : </w:t>
      </w:r>
      <w:hyperlink r:id="rId12" w:history="1">
        <w:r>
          <w:rPr>
            <w:rStyle w:val="Lienhypertexte"/>
            <w:rFonts w:ascii="Verdana" w:hAnsi="Verdana"/>
          </w:rPr>
          <w:t>https://www.w-b-e.be/jobs-carriere/evolution-de-carriere/emplois-vacants/</w:t>
        </w:r>
      </w:hyperlink>
      <w:r>
        <w:rPr>
          <w:rFonts w:ascii="Verdana" w:hAnsi="Verdana"/>
        </w:rPr>
        <w:t xml:space="preserve">  et à joindre dans votre candidature) </w:t>
      </w:r>
    </w:p>
    <w:p>
      <w:pPr>
        <w:spacing w:after="160" w:line="259" w:lineRule="auto"/>
        <w:rPr>
          <w:rFonts w:ascii="Verdana" w:hAnsi="Verdana"/>
          <w:b/>
        </w:rPr>
      </w:pPr>
      <w:r>
        <w:br w:type="page"/>
      </w:r>
      <w:r>
        <w:rPr>
          <w:rFonts w:ascii="Verdana" w:hAnsi="Verdana"/>
          <w:b/>
        </w:rPr>
        <w:t xml:space="preserve">Annexe 1. Conditions d’accès à la fonction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3° compter une ancienneté de service de trois ans au sein de l’enseignement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organisé ou subventionné par la Communauté française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sz w:val="14"/>
        </w:rPr>
      </w:pPr>
      <w:r>
        <w:rPr>
          <w:rFonts w:ascii="Verdana" w:hAnsi="Verdana" w:cs="Arial"/>
          <w:b/>
          <w:color w:val="000000" w:themeColor="text1"/>
        </w:rPr>
        <w:t>Les candidats reconnus comme éligibles à une fonction de directeur/</w:t>
      </w:r>
      <w:r>
        <w:rPr>
          <w:rFonts w:ascii="Verdana" w:hAnsi="Verdana"/>
          <w:b/>
        </w:rPr>
        <w:t>rice</w:t>
      </w:r>
      <w:r>
        <w:rPr>
          <w:rFonts w:ascii="Verdana" w:hAnsi="Verdana" w:cs="Arial"/>
          <w:b/>
          <w:color w:val="000000" w:themeColor="text1"/>
        </w:rPr>
        <w:t xml:space="preserve">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formulaire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1 « Responsabilité », en tenant compte des connaissances de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WBE : son organisation, son projet éducatif et pédagogique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hAnsi="Verdana"/>
        </w:rPr>
        <w:t xml:space="preserve">Athénée royal Léonardo Da Vinci </w:t>
      </w:r>
      <w:r>
        <w:rPr>
          <w:rFonts w:ascii="Verdana" w:eastAsia="Times New Roman" w:hAnsi="Verdana" w:cs="Arial"/>
          <w:color w:val="000000" w:themeColor="text1"/>
          <w:lang w:eastAsia="fr-FR"/>
        </w:rPr>
        <w:t xml:space="preserve">: les projets pédagogiques déjà mis en place, les caractéristiques de l’établissement, l’ancrage environnemental. </w:t>
      </w:r>
    </w:p>
    <w:p>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3 « Motivation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eastAsia="Times New Roman" w:hAnsi="Verdana" w:cs="Arial"/>
          <w:b/>
          <w:color w:val="000000" w:themeColor="text1"/>
          <w:lang w:eastAsia="fr-FR"/>
        </w:rPr>
        <w:t>Disposer d’attestations de réussite obtenues dans le cadre de la formation initiale des directeurs/rices.</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Le jury est prévu le 07 janvier 2021, une convocation sera envoyée aux candidats retenus après le 10 décembre 2020.</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hors Belgique, une attestation d'équivalence du diplôme de la Communauté française est requise (pour l'obtenir: 02/690.89.00  ou https://www.formulairesweb.cfwb.be/equi_ens_oblig/formulaire_equivalence.html) Service de l’équivalence des diplômes /Service de la reconnaissance académique et professionnelle des diplômes étrangers d’enseignement supérieur)</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Faites-en mention dans votre acte de candidature en nous fournissant les informations qui nous permettront d’adapter les conditions de l’entretien.</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hyperlink r:id="rId13">
        <w:r>
          <w:rPr>
            <w:rStyle w:val="LienInternet"/>
            <w:rFonts w:ascii="Verdana" w:hAnsi="Verdana"/>
          </w:rPr>
          <w:t>selection.promotion(at)w-b-e.be</w:t>
        </w:r>
      </w:hyperlink>
      <w:r>
        <w:rPr>
          <w:rFonts w:ascii="Verdana" w:hAnsi="Verdana"/>
        </w:rPr>
        <w:br/>
      </w:r>
    </w:p>
    <w:p>
      <w:pPr>
        <w:spacing w:after="160" w:line="259" w:lineRule="auto"/>
        <w:rPr>
          <w:rFonts w:ascii="Verdana" w:hAnsi="Verdana"/>
        </w:rPr>
      </w:pPr>
      <w:r>
        <w:br w:type="page"/>
      </w:r>
    </w:p>
    <w:p>
      <w:pPr>
        <w:spacing w:after="160" w:line="259" w:lineRule="auto"/>
        <w:rPr>
          <w:rFonts w:ascii="Verdana" w:hAnsi="Verdana"/>
        </w:rPr>
      </w:pPr>
    </w:p>
    <w:p>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4"/>
                    <a:stretch>
                      <a:fillRect/>
                    </a:stretch>
                  </pic:blipFill>
                  <pic:spPr bwMode="auto">
                    <a:xfrm>
                      <a:off x="0" y="0"/>
                      <a:ext cx="4919345" cy="1211580"/>
                    </a:xfrm>
                    <a:prstGeom prst="rect">
                      <a:avLst/>
                    </a:prstGeom>
                  </pic:spPr>
                </pic:pic>
              </a:graphicData>
            </a:graphic>
          </wp:anchor>
        </w:drawing>
      </w: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color w:val="0A0F16"/>
              <w:sz w:val="68"/>
              <w:szCs w:val="68"/>
              <w:lang w:eastAsia="nl-BE"/>
            </w:rPr>
            <w:t>Directeur</w:t>
          </w:r>
        </w:sdtContent>
      </w:sdt>
      <w:r>
        <w:rPr>
          <w:rFonts w:ascii="Calibri Light" w:eastAsia="Calibri" w:hAnsi="Calibri Light" w:cs="Times New Roman"/>
          <w:b/>
          <w:caps/>
          <w:sz w:val="68"/>
          <w:szCs w:val="68"/>
          <w:lang w:eastAsia="nl-BE"/>
        </w:rPr>
        <w:t xml:space="preserve"> </w:t>
      </w:r>
      <w:r>
        <w:rPr>
          <w:rFonts w:ascii="Calibri Light" w:eastAsia="Calibri" w:hAnsi="Calibri Light" w:cs="Times New Roman"/>
          <w:b/>
          <w:caps/>
          <w:sz w:val="48"/>
          <w:szCs w:val="68"/>
          <w:lang w:eastAsia="nl-BE"/>
        </w:rPr>
        <w:t>(h/f/x)</w:t>
      </w:r>
    </w:p>
    <w:p>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Content>
        <w:p>
          <w:pPr>
            <w:spacing w:after="0" w:line="273" w:lineRule="auto"/>
            <w:ind w:left="426"/>
            <w:rPr>
              <w:rFonts w:ascii="Calibri Light" w:eastAsia="Calibri" w:hAnsi="Calibri Light" w:cs="Calibri Light"/>
              <w:b/>
              <w:sz w:val="48"/>
              <w:szCs w:val="44"/>
              <w:u w:val="single" w:color="C9282D"/>
            </w:rPr>
          </w:pPr>
          <w:r>
            <w:rPr>
              <w:rFonts w:ascii="Calibri Light" w:eastAsia="Calibri" w:hAnsi="Calibri Light" w:cs="Calibri Light"/>
              <w:b/>
              <w:color w:val="000000" w:themeColor="text1"/>
              <w:sz w:val="48"/>
              <w:szCs w:val="44"/>
              <w:u w:val="single" w:color="C9282D"/>
            </w:rPr>
            <w:t>Ecole Secondaire</w:t>
          </w:r>
        </w:p>
      </w:sdtContent>
    </w:sdt>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sz w:val="36"/>
          <w:szCs w:val="24"/>
          <w:u w:val="single" w:color="F4AA00"/>
          <w:lang w:eastAsia="fr-FR"/>
        </w:r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F4AA00"/>
          <w:lang w:eastAsia="fr-FR"/>
        </w:rPr>
        <w:t xml:space="preserve">Etablissement : Athénée royal Léonardo Da Vinci </w:t>
      </w:r>
    </w:p>
    <w:p>
      <w:pPr>
        <w:spacing w:after="0" w:line="240" w:lineRule="auto"/>
        <w:ind w:firstLine="426"/>
        <w:rPr>
          <w:rFonts w:ascii="Calibri Light" w:eastAsia="Times New Roman" w:hAnsi="Calibri Light" w:cs="Calibri Light"/>
          <w:b/>
          <w:sz w:val="36"/>
          <w:szCs w:val="24"/>
          <w:highlight w:val="yellow"/>
          <w:lang w:eastAsia="fr-FR"/>
        </w:rPr>
      </w:pPr>
    </w:p>
    <w:p>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footerReference w:type="default" r:id="rId15"/>
          <w:headerReference w:type="first" r:id="rId16"/>
          <w:footerReference w:type="first" r:id="rId17"/>
          <w:pgSz w:w="11906" w:h="16838"/>
          <w:pgMar w:top="1417" w:right="1417" w:bottom="1417" w:left="1417" w:header="567" w:footer="227" w:gutter="0"/>
          <w:cols w:space="720"/>
          <w:formProt w:val="0"/>
          <w:titlePg/>
          <w:docGrid w:linePitch="326" w:charSpace="4096"/>
        </w:sect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1D77"/>
          <w:lang w:eastAsia="fr-FR"/>
        </w:rPr>
        <w:t xml:space="preserve">Référence : </w:t>
      </w:r>
      <w:bookmarkStart w:id="3" w:name="_Toc489775823"/>
      <w:bookmarkStart w:id="4" w:name="_Toc495298909"/>
      <w:bookmarkStart w:id="5" w:name="_Toc496000780"/>
      <w:bookmarkStart w:id="6" w:name="_Toc496507100"/>
      <w:bookmarkEnd w:id="3"/>
      <w:bookmarkEnd w:id="4"/>
      <w:bookmarkEnd w:id="5"/>
      <w:bookmarkEnd w:id="6"/>
      <w:r>
        <w:rPr>
          <w:rFonts w:ascii="Calibri Light" w:eastAsia="Times New Roman" w:hAnsi="Calibri Light" w:cs="Calibri Light"/>
          <w:b/>
          <w:color w:val="000000" w:themeColor="text1"/>
          <w:sz w:val="36"/>
          <w:szCs w:val="24"/>
          <w:u w:val="single" w:color="001D77"/>
          <w:lang w:eastAsia="fr-FR"/>
        </w:rPr>
        <w:t>WBE CE 2020 011</w:t>
      </w: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t>Le.a directeur</w:t>
      </w:r>
      <w:r>
        <w:rPr>
          <w:rFonts w:eastAsia="Times New Roman" w:cs="Times New Roman"/>
          <w:color w:val="000000"/>
          <w:sz w:val="16"/>
          <w:lang w:eastAsia="fr-FR"/>
        </w:rPr>
        <w:t>•</w:t>
      </w:r>
      <w:r>
        <w:rPr>
          <w:rFonts w:eastAsia="Times New Roman" w:cs="Times New Roman"/>
          <w:color w:val="000000"/>
          <w:lang w:eastAsia="fr-FR"/>
        </w:rPr>
        <w:t xml:space="preserve">rice a une compétence générale de pilotage et d’organisation de l’établissement. </w:t>
      </w:r>
      <w:r>
        <w:rPr>
          <w:rFonts w:eastAsia="Times New Roman" w:cs="Times New Roman"/>
          <w:color w:val="000000"/>
          <w:lang w:eastAsia="fr-FR"/>
        </w:rPr>
        <w:br/>
        <w:t>Il/Elle assume les responsabilités que son pouvoir organisateur, WBE, lui confie dans 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685"/>
        <w:gridCol w:w="1249"/>
        <w:gridCol w:w="294"/>
        <w:gridCol w:w="662"/>
        <w:gridCol w:w="1033"/>
      </w:tblGrid>
      <w:tr>
        <w:trPr>
          <w:gridAfter w:val="5"/>
          <w:wAfter w:w="4923" w:type="dxa"/>
          <w:trHeight w:val="311"/>
        </w:trPr>
        <w:tc>
          <w:tcPr>
            <w:tcW w:w="3155" w:type="dxa"/>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trPr>
          <w:trHeight w:val="460"/>
        </w:trPr>
        <w:tc>
          <w:tcPr>
            <w:tcW w:w="3155" w:type="dxa"/>
            <w:vMerge w:val="restart"/>
            <w:tcBorders>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7" w:name="__Fieldmark__318_2749759877"/>
            <w:bookmarkEnd w:id="7"/>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fldChar w:fldCharType="separate"/>
            </w:r>
            <w:bookmarkStart w:id="10" w:name="__Fieldmark__340_2749759877"/>
            <w:bookmarkEnd w:id="10"/>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fldChar w:fldCharType="separate"/>
            </w:r>
            <w:bookmarkStart w:id="12" w:name="__Fieldmark__350_2749759877"/>
            <w:bookmarkEnd w:id="12"/>
            <w:r>
              <w:fldChar w:fldCharType="end"/>
            </w:r>
          </w:p>
        </w:tc>
      </w:tr>
      <w:tr>
        <w:trPr>
          <w:gridAfter w:val="5"/>
          <w:wAfter w:w="4923" w:type="dxa"/>
          <w:trHeight w:val="269"/>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5"/>
          <w:wAfter w:w="4923" w:type="dxa"/>
          <w:trHeight w:val="269"/>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695" w:type="dxa"/>
          <w:trHeight w:val="460"/>
        </w:trPr>
        <w:tc>
          <w:tcPr>
            <w:tcW w:w="3155" w:type="dxa"/>
            <w:vMerge/>
            <w:tcBorders>
              <w:top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3" w:name="__Fieldmark__353_2749759877"/>
            <w:bookmarkEnd w:id="13"/>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trPr>
          <w:gridAfter w:val="5"/>
          <w:wAfter w:w="4923" w:type="dxa"/>
          <w:trHeight w:val="460"/>
        </w:trPr>
        <w:tc>
          <w:tcPr>
            <w:tcW w:w="3155" w:type="dxa"/>
            <w:shd w:val="clear" w:color="auto" w:fill="auto"/>
          </w:tcP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w:t>
      </w:r>
      <w:r>
        <w:rPr>
          <w:rFonts w:eastAsia="Times New Roman" w:cs="Times New Roman"/>
          <w:bCs/>
          <w:color w:val="000000"/>
          <w:lang w:eastAsia="fr-FR"/>
        </w:rPr>
        <w:t>Nous</w:t>
      </w:r>
      <w:r>
        <w:rPr>
          <w:rFonts w:eastAsia="Times New Roman" w:cs="Times New Roman"/>
          <w:color w:val="000000"/>
          <w:lang w:eastAsia="fr-FR"/>
        </w:rPr>
        <w:t xml:space="preserve"> rassemblons </w:t>
      </w:r>
      <w:r>
        <w:rPr>
          <w:rFonts w:eastAsia="Times New Roman" w:cs="Times New Roman"/>
          <w:b/>
          <w:color w:val="000000"/>
          <w:lang w:eastAsia="fr-FR"/>
        </w:rPr>
        <w:t>365</w:t>
      </w:r>
      <w:r>
        <w:rPr>
          <w:rFonts w:eastAsia="Times New Roman" w:cs="Times New Roman"/>
          <w:color w:val="000000"/>
          <w:lang w:eastAsia="fr-FR"/>
        </w:rPr>
        <w:t xml:space="preserve"> établissements scolaires </w:t>
      </w:r>
      <w:r>
        <w:rPr>
          <w:rFonts w:eastAsia="Times New Roman" w:cs="Times New Roman"/>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w:t>
      </w:r>
      <w:r>
        <w:rPr>
          <w:rFonts w:eastAsia="Times New Roman" w:cs="Times New Roman"/>
          <w:bCs/>
          <w:color w:val="000000"/>
          <w:lang w:eastAsia="fr-FR"/>
        </w:rPr>
        <w:t xml:space="preserve">accueille </w:t>
      </w:r>
      <w:r>
        <w:rPr>
          <w:rFonts w:eastAsia="Times New Roman" w:cs="Times New Roman"/>
          <w:color w:val="000000"/>
          <w:lang w:eastAsia="fr-FR"/>
        </w:rPr>
        <w:t>plus de 211 000 élèves ou étudiants de la maternelle à l’enseignement supérieur et emploie plus de 30 000 personnes. WBE, c’est aussi 3.200.000 m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eastAsia="Times New Roman" w:cs="Times New Roman"/>
          <w:color w:val="000000"/>
          <w:lang w:eastAsia="fr-FR"/>
        </w:rPr>
      </w:pPr>
      <w:r>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des membres de son personnel,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 (H/F/X)</w:t>
      </w:r>
      <w:r>
        <w:rPr>
          <w:rFonts w:eastAsia="Times New Roman" w:cs="Times New Roman"/>
          <w:lang w:eastAsia="fr-FR"/>
        </w:rPr>
        <w:t xml:space="preserve">, vous pouvez être amené(e) à : </w:t>
      </w:r>
      <w:r>
        <w:rPr>
          <w:rFonts w:eastAsia="Times New Roman" w:cs="Times New Roman"/>
          <w:lang w:eastAsia="fr-FR"/>
        </w:rPr>
        <w:tab/>
      </w:r>
      <w:r>
        <w:rPr>
          <w:rFonts w:eastAsia="Times New Roman" w:cs="Times New Roman"/>
          <w:lang w:eastAsia="fr-FR"/>
        </w:rPr>
        <w:br/>
      </w: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pPr>
        <w:shd w:val="clear" w:color="auto" w:fill="FFFFFF"/>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organisateur. Donner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Incarner les valeurs fondant l’action pédagogique et éducative prônée par WBE, les finalités et les objectifs visés dans l’école.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Responsabilité spécifique à l’Athénée royal Léonardo da Vinci Anderlecht : </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 xml:space="preserve">Assurer à tous les élèves des chances égales d’émancipation sociale. </w:t>
      </w: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en tant que leader pédagogique et éducatif, piloter la co-construction du projet d’école et du plan de pilotage de l’école, en menant à bien le processus de contractualisation y afférent ainsi que la mise en œuvre collective du contrat d’objectifs (ou le cas échéant, le protocole de collaboration).</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pPr>
      <w:r>
        <w:rPr>
          <w:rFonts w:eastAsia="Times New Roman" w:cs="Calibri"/>
          <w:bCs/>
          <w:lang w:eastAsia="fr-FR"/>
        </w:rPr>
        <w:t>Jouer un rôle d’interface entre le Pouvoir organisateur et l’ensemble des acteurs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les acteurs de l’école, à la co-construction de la culture d’école et/ou la développer en cohérence avec les valeurs du système éducatif et celles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tout processus décisionnel.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Faire de l’école une organisation apprenante et y encourager l’innovation, notamment didactique et pédagogique.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Le directeur veille, le cas échéant, à la bonne organisation des organes locaux de concertation sociale légaux et conventionnels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 spécifique à l’Athénée royal Léonardo da Vinci Anderlecht :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Poursuivre et intensifier le partenariat avec la promotion sociale d’Evere qui occupe un bâtiment (cours de langue, option aide-soignante) et la Promotion sociale de Jemappes occupant un atelier de maréchalerie.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Poursuivre et intensifier les relations étroites avec l’internat de l’AR Gatti de Gamond jouxtant l’implantation primaire annexée « Léopold de Swaef ». </w:t>
      </w:r>
      <w:r>
        <w:rPr>
          <w:rFonts w:ascii="Calibri" w:eastAsia="Times New Roman" w:hAnsi="Calibri" w:cs="Calibri"/>
          <w:bCs/>
          <w:lang w:eastAsia="fr-FR"/>
        </w:rPr>
        <w:tab/>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tbl>
      <w:tblPr>
        <w:tblpPr w:leftFromText="141" w:rightFromText="141" w:vertAnchor="text" w:horzAnchor="margin" w:tblpY="-970"/>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Poursuivre et intensifier le partenariat avec le CPMS, l’Antenne Scolaire d’Anderlecht, l’ABSL FEFA (Football-Etudes-Familles-Anderlecht) et le théâtre Pierre de Lune.</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Poursuivre et intensifier le partenariat avec les autorités communales et les associations locales pour améliorer la vie du quartier de Cureghem.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Développer le nouveau partenariat avec l’ADEPS.</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entre les méthodes pédagogiques de l’équipe éducative et les caractéristiques de la population scolaire et les spécificités de la matière/contenu.</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leadership pédagogique partagé, contrôler l'avancement, suivre régulièrement la progression des résultats des missions déléguées et si nécessaire ajuster de manière adéquate et cohérente en fonction des objectifs à atteindre.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pPr>
        <w:tabs>
          <w:tab w:val="left" w:pos="1985"/>
        </w:tabs>
        <w:spacing w:after="0" w:line="240" w:lineRule="auto"/>
        <w:ind w:left="-70"/>
        <w:jc w:val="both"/>
      </w:pPr>
      <w:r>
        <w:rPr>
          <w:rFonts w:eastAsia="Times New Roman" w:cs="Calibri"/>
          <w:bCs/>
          <w:lang w:eastAsia="fr-FR"/>
        </w:rPr>
        <w:t>Favoriser la collaboration de l’équipe éducative avec le Centre psycho-médico-social.</w:t>
      </w:r>
    </w:p>
    <w:p>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 spécifique à l’Athénée royal Léonardo da Vinci Anderlecht : </w:t>
      </w:r>
    </w:p>
    <w:p>
      <w:pPr>
        <w:tabs>
          <w:tab w:val="left" w:pos="1985"/>
        </w:tabs>
        <w:spacing w:after="0" w:line="240" w:lineRule="auto"/>
        <w:ind w:left="-70"/>
        <w:jc w:val="both"/>
      </w:pPr>
      <w:r>
        <w:t xml:space="preserve">Encourager les activités de remédiations entre autres le DAS (Dispositif d’Accrochage Scolaire). </w:t>
      </w:r>
    </w:p>
    <w:p>
      <w:pPr>
        <w:tabs>
          <w:tab w:val="left" w:pos="1985"/>
        </w:tabs>
        <w:spacing w:after="0" w:line="240" w:lineRule="auto"/>
        <w:ind w:left="-70"/>
        <w:jc w:val="both"/>
      </w:pPr>
      <w:r>
        <w:t>Développer des stratégies pour rendre attractif l’enseignement qualifiant en repensant l’offre de son établissement.</w:t>
      </w:r>
    </w:p>
    <w:p>
      <w:pPr>
        <w:tabs>
          <w:tab w:val="left" w:pos="1985"/>
        </w:tabs>
        <w:spacing w:after="0" w:line="240" w:lineRule="auto"/>
        <w:ind w:left="-70"/>
        <w:jc w:val="both"/>
      </w:pPr>
      <w:r>
        <w:t>Mener à bien la transition vers le régime de la CPU avec l’aide du chef d’atelier et des enseignants du qualifiant.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 </w:t>
      </w: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 dynamique collective et soutenir le travail collaboratif dans une visée de partage de pratiques et d’organisation apprenante.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pouvoir organisateur pour construire une équipe éducative centrée sur l’élève, son développement et ses apprentissages.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tbl>
      <w:tblPr>
        <w:tblpPr w:leftFromText="141" w:rightFromText="141" w:vertAnchor="text" w:horzAnchor="margin" w:tblpY="-83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Accompagner les équipes éducatives dans le changement et les innovations qu’elles mettent en œuvre.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à l’accueil et à l’intégration des nouveaux membres du personnel ainsi qu’à l’accompagnement des membres du personnel en difficulté.</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professionnel, individuel et collectif des membres du personnel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participer à l’identification de leurs besoins de formation et leur faciliter l’accès à la formation en cours de carrière dans le cadre du plan de formation de l’école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pPr>
        <w:tabs>
          <w:tab w:val="left" w:pos="1985"/>
        </w:tabs>
        <w:spacing w:after="0" w:line="240" w:lineRule="auto"/>
        <w:ind w:left="-70"/>
        <w:contextualSpacing/>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au respect du statut des membres du personnel et du règlement de travail.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analyser, intégrer et faire circuler l’information en la reformulant de manière adaptée et au moyen des dispositifs adéquats à l’attention, respectivement, du Pouvoir organisateur, des membres du personnel, des élèves, des parents et des agents du Centre psycho-médico-social et en tant qu’interface, avec les partenaires et interlocuteurs extérieurs.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 la limite des délégations qui ont été données.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Construire des dispositifs de communication entre les acteurs de l’école  et avec les partenaires de l’école.</w:t>
      </w:r>
    </w:p>
    <w:p>
      <w:pPr>
        <w:tabs>
          <w:tab w:val="left" w:pos="1985"/>
        </w:tabs>
        <w:spacing w:after="0" w:line="240" w:lineRule="auto"/>
        <w:ind w:left="-70"/>
        <w:jc w:val="both"/>
        <w:rPr>
          <w:rFonts w:ascii="Calibri" w:eastAsia="Times New Roman" w:hAnsi="Calibri" w:cs="Calibri"/>
          <w:bCs/>
          <w:i/>
          <w:sz w:val="24"/>
          <w:highlight w:val="red"/>
          <w:lang w:eastAsia="fr-FR"/>
        </w:rPr>
      </w:pPr>
    </w:p>
    <w:tbl>
      <w:tblPr>
        <w:tblpPr w:leftFromText="141" w:rightFromText="141" w:vertAnchor="text" w:horzAnchor="margin" w:tblpY="-83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eastAsia="Times New Roman" w:cs="Calibri"/>
          <w:highlight w:val="green"/>
          <w:lang w:eastAsia="fr-FR"/>
        </w:rPr>
      </w:pPr>
    </w:p>
    <w:p>
      <w:pPr>
        <w:tabs>
          <w:tab w:val="left" w:pos="1985"/>
        </w:tabs>
        <w:spacing w:after="0" w:line="240" w:lineRule="auto"/>
        <w:ind w:left="-70"/>
        <w:jc w:val="both"/>
        <w:rPr>
          <w:rFonts w:ascii="Calibri" w:eastAsia="Times New Roman" w:hAnsi="Calibri" w:cs="Calibri"/>
          <w:bCs/>
          <w:i/>
          <w:sz w:val="24"/>
          <w:highlight w:val="red"/>
          <w:lang w:eastAsia="fr-FR"/>
        </w:rPr>
      </w:pPr>
    </w:p>
    <w:p>
      <w:pPr>
        <w:tabs>
          <w:tab w:val="left" w:pos="1985"/>
        </w:tabs>
        <w:spacing w:after="0" w:line="240" w:lineRule="auto"/>
        <w:ind w:left="-70"/>
        <w:jc w:val="both"/>
        <w:rPr>
          <w:rFonts w:ascii="Calibri" w:eastAsia="Times New Roman" w:hAnsi="Calibri" w:cs="Calibri"/>
          <w:bCs/>
          <w:i/>
          <w:sz w:val="24"/>
          <w:highlight w:val="red"/>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la gestion du budget pour lequel délégation a été donnée, en vue de parvenir à un fonctionnement optimal de l’école et à la réalisation de ses objectifs.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équipements pédagogiques, techniques et informatiques nécessaires à son fonctionnement et en informer le pouvoir organisateur.</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 délégation a été donnée, y compris en matière de sécurité,  d'hygiène et de bien-être au travail.</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 spécifique à l’Athénée royal Léonardo da Vinci Anderlecht :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Être attentif aux questions environnementales et architecturales qui seront au cœur des rénovations des bâtiments et du site de l’ARLDV.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S’impliquer fortement dans les questions de sécurité des bâtiments, de rénovation des ateliers, de l’implantation de nouveaux équipements.</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Porter une attention particulière à l’axe financier : les ressources sont limitées et les investissements à réaliser sont importants. Il sera donc indispensable non seulement de préserver les moyens financiers existants, mais de trouver les voies à de nouveaux financements.</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eastAsia="Times New Roman" w:cs="Calibri"/>
          <w:bCs/>
          <w:i/>
          <w:sz w:val="28"/>
          <w:shd w:val="clear" w:color="auto" w:fill="F4AA00"/>
          <w:lang w:eastAsia="fr-FR"/>
        </w:rPr>
      </w:pPr>
      <w:r>
        <w:rPr>
          <w:rFonts w:eastAsia="Times New Roman"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continument de nouvelles idées, compétences et connaissances.</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la lettre de mission et à l’auto-évaluation. </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spacing w:after="0" w:line="240" w:lineRule="auto"/>
        <w:rPr>
          <w:rFonts w:ascii="Calibri" w:eastAsia="Times New Roman" w:hAnsi="Calibri" w:cs="Times New Roman"/>
          <w:lang w:eastAsia="fr-FR"/>
        </w:rPr>
      </w:pPr>
    </w:p>
    <w:tbl>
      <w:tblPr>
        <w:tblpPr w:leftFromText="141" w:rightFromText="141" w:vertAnchor="text" w:horzAnchor="margin" w:tblpY="-86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710"/>
        <w:gridCol w:w="850"/>
      </w:tblGrid>
      <w:tr>
        <w:trPr>
          <w:trHeight w:val="586"/>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pPr>
            <w:bookmarkStart w:id="16" w:name="__UnoMark__746_2749759877"/>
            <w:bookmarkEnd w:id="16"/>
            <w:r>
              <w:rPr>
                <w:rFonts w:eastAsia="Times New Roman" w:cs="Times New Roman"/>
                <w:b/>
                <w:lang w:eastAsia="fr-FR"/>
              </w:rPr>
              <w:t xml:space="preserve">Niveaux de maitrise </w:t>
            </w:r>
          </w:p>
          <w:p>
            <w:pPr>
              <w:numPr>
                <w:ilvl w:val="0"/>
                <w:numId w:val="1"/>
              </w:numPr>
              <w:tabs>
                <w:tab w:val="left" w:pos="1985"/>
              </w:tabs>
              <w:spacing w:after="0" w:line="240" w:lineRule="auto"/>
              <w:contextualSpacing/>
            </w:pPr>
            <w:r>
              <w:rPr>
                <w:rFonts w:eastAsia="Times New Roman" w:cs="Times New Roman"/>
                <w:b/>
                <w:lang w:eastAsia="fr-FR"/>
              </w:rPr>
              <w:t>Aptitude à acquérir la compétence -&gt; avoir des notions théoriques</w:t>
            </w:r>
          </w:p>
          <w:p>
            <w:pPr>
              <w:numPr>
                <w:ilvl w:val="0"/>
                <w:numId w:val="1"/>
              </w:numPr>
              <w:tabs>
                <w:tab w:val="left" w:pos="1985"/>
              </w:tabs>
              <w:spacing w:after="0" w:line="240" w:lineRule="auto"/>
              <w:contextualSpacing/>
            </w:pPr>
            <w:r>
              <w:rPr>
                <w:rFonts w:eastAsia="Times New Roman" w:cs="Times New Roman"/>
                <w:b/>
                <w:lang w:eastAsia="fr-FR"/>
              </w:rPr>
              <w:t>Élémentaire -&gt; agir de façon réactive</w:t>
            </w:r>
          </w:p>
          <w:p>
            <w:pPr>
              <w:numPr>
                <w:ilvl w:val="0"/>
                <w:numId w:val="1"/>
              </w:numPr>
              <w:tabs>
                <w:tab w:val="left" w:pos="1985"/>
              </w:tabs>
              <w:spacing w:after="0" w:line="240" w:lineRule="auto"/>
              <w:contextualSpacing/>
            </w:pPr>
            <w:r>
              <w:rPr>
                <w:rFonts w:eastAsia="Times New Roman" w:cs="Times New Roman"/>
                <w:b/>
                <w:lang w:eastAsia="fr-FR"/>
              </w:rPr>
              <w:t>Intermédiaire -&gt; agir de façon autonome</w:t>
            </w:r>
          </w:p>
          <w:p>
            <w:pPr>
              <w:numPr>
                <w:ilvl w:val="0"/>
                <w:numId w:val="1"/>
              </w:numPr>
              <w:tabs>
                <w:tab w:val="left" w:pos="1985"/>
              </w:tabs>
              <w:spacing w:after="0" w:line="240" w:lineRule="auto"/>
              <w:contextualSpacing/>
            </w:pPr>
            <w:r>
              <w:rPr>
                <w:rFonts w:eastAsia="Times New Roman" w:cs="Times New Roman"/>
                <w:b/>
                <w:lang w:eastAsia="fr-FR"/>
              </w:rPr>
              <w:t>Avancé -&gt; agir avec excellence</w:t>
            </w:r>
            <w:r>
              <w:rPr>
                <w:rFonts w:eastAsia="Times New Roman" w:cs="Times New Roman"/>
                <w:b/>
                <w:lang w:eastAsia="fr-FR"/>
              </w:rPr>
              <w:br/>
            </w:r>
            <w:bookmarkStart w:id="17" w:name="__UnoMark__747_2749759877"/>
            <w:bookmarkEnd w:id="17"/>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8" w:name="__UnoMark__748_2749759877"/>
            <w:bookmarkEnd w:id="18"/>
            <w:r>
              <w:rPr>
                <w:rFonts w:eastAsia="Times New Roman" w:cs="Calibri"/>
                <w:lang w:eastAsia="fr-FR"/>
              </w:rPr>
              <w:t>Niveau attendu</w:t>
            </w:r>
            <w:bookmarkStart w:id="19" w:name="__UnoMark__749_2749759877"/>
            <w:bookmarkEnd w:id="19"/>
            <w:r>
              <w:rPr>
                <w:rFonts w:eastAsia="Times New Roman" w:cs="Calibri"/>
                <w:lang w:eastAsia="fr-FR"/>
              </w:rPr>
              <w:t> :</w:t>
            </w:r>
          </w:p>
        </w:tc>
      </w:tr>
      <w:tr>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rPr>
                <w:rFonts w:ascii="Calibri" w:eastAsia="Times New Roman" w:hAnsi="Calibri" w:cs="Times New Roman"/>
                <w:b/>
                <w:lang w:eastAsia="fr-FR"/>
              </w:rPr>
            </w:pPr>
            <w:bookmarkStart w:id="20" w:name="__UnoMark__751_2749759877"/>
            <w:bookmarkStart w:id="21" w:name="__UnoMark__750_2749759877"/>
            <w:bookmarkEnd w:id="20"/>
            <w:bookmarkEnd w:id="21"/>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2" w:name="__UnoMark__752_2749759877"/>
            <w:bookmarkEnd w:id="22"/>
            <w:r>
              <w:rPr>
                <w:rFonts w:eastAsia="Times New Roman" w:cs="Calibri"/>
                <w:lang w:eastAsia="fr-FR"/>
              </w:rPr>
              <w:t>En jury</w:t>
            </w:r>
            <w:bookmarkStart w:id="23" w:name="__UnoMark__753_2749759877"/>
            <w:bookmarkEnd w:id="23"/>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4" w:name="__UnoMark__754_2749759877"/>
            <w:bookmarkEnd w:id="24"/>
            <w:r>
              <w:rPr>
                <w:rFonts w:eastAsia="Times New Roman" w:cs="Calibri"/>
                <w:lang w:eastAsia="fr-FR"/>
              </w:rPr>
              <w:t>À terme </w:t>
            </w:r>
            <w:bookmarkStart w:id="25" w:name="__UnoMark__755_2749759877"/>
            <w:bookmarkEnd w:id="25"/>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28" w:name="__UnoMark__758_2749759877"/>
            <w:bookmarkEnd w:id="28"/>
            <w:r>
              <w:rPr>
                <w:rFonts w:eastAsia="Times New Roman" w:cs="Times New Roman"/>
                <w:lang w:eastAsia="fr-FR"/>
              </w:rPr>
              <w:t xml:space="preserve">Avoir la capacité de lire et comprendre un texte juridique. </w:t>
            </w:r>
            <w:bookmarkStart w:id="29" w:name="__UnoMark__759_2749759877"/>
            <w:bookmarkEnd w:id="2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0" w:name="__UnoMark__760_2749759877"/>
            <w:bookmarkEnd w:id="30"/>
            <w:r>
              <w:rPr>
                <w:rFonts w:eastAsia="Times New Roman" w:cs="Calibri"/>
                <w:lang w:eastAsia="fr-FR"/>
              </w:rPr>
              <w:t xml:space="preserve">B </w:t>
            </w:r>
            <w:bookmarkStart w:id="31" w:name="__UnoMark__761_2749759877"/>
            <w:bookmarkEnd w:id="3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2" w:name="__UnoMark__762_2749759877"/>
            <w:bookmarkEnd w:id="32"/>
            <w:r>
              <w:rPr>
                <w:rFonts w:eastAsia="Times New Roman" w:cs="Calibri"/>
                <w:lang w:eastAsia="fr-FR"/>
              </w:rPr>
              <w:t>C</w:t>
            </w:r>
            <w:bookmarkStart w:id="33" w:name="__UnoMark__763_2749759877"/>
            <w:bookmarkEnd w:id="33"/>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34" w:name="__UnoMark__764_2749759877"/>
            <w:bookmarkEnd w:id="34"/>
            <w:r>
              <w:rPr>
                <w:rFonts w:eastAsia="Times New Roman" w:cs="Calibri"/>
                <w:b/>
                <w:lang w:eastAsia="fr-FR"/>
              </w:rPr>
              <w:t>Pédagogi</w:t>
            </w:r>
            <w:bookmarkStart w:id="35" w:name="__UnoMark__765_2749759877"/>
            <w:bookmarkEnd w:id="35"/>
            <w:r>
              <w:rPr>
                <w:rFonts w:eastAsia="Times New Roman" w:cs="Calibri"/>
                <w:b/>
                <w:lang w:eastAsia="fr-FR"/>
              </w:rPr>
              <w:t>e</w:t>
            </w:r>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36" w:name="__UnoMark__766_2749759877"/>
            <w:bookmarkEnd w:id="36"/>
            <w:r>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8" w:name="__UnoMark__768_2749759877"/>
            <w:bookmarkEnd w:id="38"/>
            <w:r>
              <w:rPr>
                <w:rFonts w:eastAsia="Times New Roman" w:cs="Calibri"/>
                <w:lang w:eastAsia="fr-FR"/>
              </w:rPr>
              <w:t xml:space="preserve">C </w:t>
            </w:r>
            <w:bookmarkStart w:id="39" w:name="__UnoMark__769_2749759877"/>
            <w:bookmarkEnd w:id="39"/>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0" w:name="__UnoMark__770_2749759877"/>
            <w:bookmarkEnd w:id="40"/>
            <w:r>
              <w:rPr>
                <w:rFonts w:eastAsia="Times New Roman" w:cs="Calibri"/>
                <w:lang w:eastAsia="fr-FR"/>
              </w:rPr>
              <w:t>D</w:t>
            </w:r>
            <w:bookmarkStart w:id="41" w:name="__UnoMark__771_2749759877"/>
            <w:bookmarkEnd w:id="41"/>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42" w:name="__UnoMark__772_2749759877"/>
            <w:bookmarkEnd w:id="42"/>
            <w:r>
              <w:rPr>
                <w:rFonts w:eastAsia="Times New Roman" w:cs="Calibri"/>
                <w:b/>
                <w:lang w:eastAsia="fr-FR"/>
              </w:rPr>
              <w:t>Numérique</w:t>
            </w:r>
            <w:bookmarkStart w:id="43" w:name="__UnoMark__773_2749759877"/>
            <w:bookmarkEnd w:id="43"/>
          </w:p>
        </w:tc>
      </w:tr>
      <w:tr>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44" w:name="__UnoMark__774_2749759877"/>
            <w:bookmarkEnd w:id="44"/>
            <w:r>
              <w:rPr>
                <w:rFonts w:eastAsia="Times New Roman" w:cs="Calibri"/>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6" w:name="__UnoMark__776_2749759877"/>
            <w:bookmarkEnd w:id="46"/>
            <w:r>
              <w:rPr>
                <w:rFonts w:eastAsia="Times New Roman" w:cs="Calibri"/>
                <w:lang w:eastAsia="fr-FR"/>
              </w:rPr>
              <w:t xml:space="preserve">B </w:t>
            </w:r>
            <w:bookmarkStart w:id="47" w:name="__UnoMark__777_2749759877"/>
            <w:bookmarkEnd w:id="47"/>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8" w:name="__UnoMark__778_2749759877"/>
            <w:bookmarkEnd w:id="48"/>
            <w:r>
              <w:rPr>
                <w:rFonts w:eastAsia="Times New Roman" w:cs="Calibri"/>
                <w:lang w:eastAsia="fr-FR"/>
              </w:rPr>
              <w:t>C</w:t>
            </w:r>
            <w:bookmarkStart w:id="49" w:name="__UnoMark__779_2749759877"/>
            <w:bookmarkEnd w:id="49"/>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50" w:name="__UnoMark__780_2749759877"/>
            <w:bookmarkEnd w:id="50"/>
            <w:r>
              <w:rPr>
                <w:rFonts w:eastAsia="Times New Roman" w:cs="Calibri"/>
                <w:b/>
                <w:lang w:eastAsia="fr-FR"/>
              </w:rPr>
              <w:t xml:space="preserve">Méthodologie </w:t>
            </w:r>
            <w:bookmarkStart w:id="51" w:name="__UnoMark__781_2749759877"/>
            <w:bookmarkEnd w:id="51"/>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2" w:name="__UnoMark__782_2749759877"/>
            <w:bookmarkEnd w:id="52"/>
            <w:r>
              <w:rPr>
                <w:rFonts w:eastAsia="Times New Roman" w:cs="Calibri"/>
                <w:lang w:eastAsia="fr-FR"/>
              </w:rPr>
              <w:t>Être capable de gérer des réunions.</w:t>
            </w:r>
            <w:bookmarkStart w:id="53" w:name="__UnoMark__783_2749759877"/>
            <w:bookmarkEnd w:id="53"/>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4" w:name="__UnoMark__784_2749759877"/>
            <w:bookmarkEnd w:id="54"/>
            <w:r>
              <w:rPr>
                <w:rFonts w:eastAsia="Times New Roman" w:cs="Calibri"/>
                <w:lang w:eastAsia="fr-FR"/>
              </w:rPr>
              <w:t xml:space="preserve">C </w:t>
            </w:r>
            <w:bookmarkStart w:id="55" w:name="__UnoMark__785_2749759877"/>
            <w:bookmarkEnd w:id="55"/>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6" w:name="__UnoMark__786_2749759877"/>
            <w:bookmarkEnd w:id="56"/>
            <w:r>
              <w:rPr>
                <w:rFonts w:eastAsia="Times New Roman" w:cs="Calibri"/>
                <w:lang w:eastAsia="fr-FR"/>
              </w:rPr>
              <w:t>D</w:t>
            </w:r>
            <w:bookmarkStart w:id="57" w:name="__UnoMark__787_2749759877"/>
            <w:bookmarkEnd w:id="5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8" w:name="__UnoMark__788_2749759877"/>
            <w:bookmarkEnd w:id="58"/>
            <w:r>
              <w:rPr>
                <w:rFonts w:eastAsia="Times New Roman" w:cs="Calibri"/>
                <w:lang w:eastAsia="fr-FR"/>
              </w:rPr>
              <w:t>Être capable de gérer des conflits.</w:t>
            </w:r>
            <w:bookmarkStart w:id="59" w:name="__UnoMark__789_2749759877"/>
            <w:bookmarkEnd w:id="5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0" w:name="__UnoMark__790_2749759877"/>
            <w:bookmarkEnd w:id="60"/>
            <w:r>
              <w:rPr>
                <w:rFonts w:eastAsia="Times New Roman" w:cs="Calibri"/>
                <w:lang w:eastAsia="fr-FR"/>
              </w:rPr>
              <w:t xml:space="preserve">C </w:t>
            </w:r>
            <w:bookmarkStart w:id="61" w:name="__UnoMark__791_2749759877"/>
            <w:bookmarkEnd w:id="6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2" w:name="__UnoMark__792_2749759877"/>
            <w:bookmarkEnd w:id="62"/>
            <w:r>
              <w:rPr>
                <w:rFonts w:eastAsia="Times New Roman" w:cs="Calibri"/>
                <w:lang w:eastAsia="fr-FR"/>
              </w:rPr>
              <w:t>D</w:t>
            </w:r>
            <w:bookmarkStart w:id="63" w:name="__UnoMark__793_2749759877"/>
            <w:bookmarkEnd w:id="63"/>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64" w:name="__UnoMark__794_2749759877"/>
            <w:bookmarkEnd w:id="64"/>
            <w:r>
              <w:rPr>
                <w:rFonts w:eastAsia="Times New Roman" w:cs="Calibri"/>
                <w:b/>
                <w:lang w:eastAsia="fr-FR"/>
              </w:rPr>
              <w:t>Métier</w:t>
            </w:r>
            <w:bookmarkStart w:id="65" w:name="__UnoMark__795_2749759877"/>
            <w:bookmarkEnd w:id="65"/>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66" w:name="__UnoMark__796_2749759877"/>
            <w:bookmarkStart w:id="67" w:name="__UnoMark__802_2749759877"/>
            <w:bookmarkEnd w:id="66"/>
            <w:bookmarkEnd w:id="67"/>
            <w:r>
              <w:rPr>
                <w:rFonts w:eastAsia="Times New Roman" w:cs="Calibri"/>
                <w:lang w:eastAsia="fr-FR"/>
              </w:rPr>
              <w:t>Avoir des compétences en gestion administrative, financière et matérielle de l’établissement.</w:t>
            </w:r>
            <w:bookmarkStart w:id="68" w:name="__UnoMark__803_2749759877"/>
            <w:bookmarkEnd w:id="68"/>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9" w:name="__UnoMark__804_2749759877"/>
            <w:bookmarkEnd w:id="69"/>
            <w:r>
              <w:rPr>
                <w:rFonts w:eastAsia="Times New Roman" w:cs="Calibri"/>
                <w:lang w:eastAsia="fr-FR"/>
              </w:rPr>
              <w:t>B</w:t>
            </w:r>
            <w:bookmarkStart w:id="70" w:name="__UnoMark__805_2749759877"/>
            <w:bookmarkEnd w:id="70"/>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1" w:name="__UnoMark__806_2749759877"/>
            <w:bookmarkEnd w:id="71"/>
            <w:r>
              <w:rPr>
                <w:rFonts w:eastAsia="Times New Roman" w:cs="Calibri"/>
                <w:lang w:eastAsia="fr-FR"/>
              </w:rPr>
              <w:t>C</w:t>
            </w:r>
            <w:bookmarkStart w:id="72" w:name="__UnoMark__807_2749759877"/>
            <w:bookmarkEnd w:id="72"/>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3" w:name="__UnoMark__808_2749759877"/>
            <w:bookmarkEnd w:id="73"/>
            <w:r>
              <w:rPr>
                <w:rFonts w:eastAsia="Times New Roman" w:cs="Calibri"/>
                <w:lang w:eastAsia="fr-FR"/>
              </w:rPr>
              <w:t>Avoir des compétences de gestion de l’infrastructure de l'école.</w:t>
            </w:r>
            <w:bookmarkStart w:id="74" w:name="__UnoMark__809_2749759877"/>
            <w:bookmarkEnd w:id="7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5" w:name="__UnoMark__810_2749759877"/>
            <w:bookmarkEnd w:id="75"/>
            <w:r>
              <w:rPr>
                <w:rFonts w:eastAsia="Times New Roman" w:cs="Calibri"/>
                <w:lang w:eastAsia="fr-FR"/>
              </w:rPr>
              <w:t xml:space="preserve">B </w:t>
            </w:r>
            <w:bookmarkStart w:id="76" w:name="__UnoMark__811_2749759877"/>
            <w:bookmarkEnd w:id="7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7" w:name="__UnoMark__812_2749759877"/>
            <w:bookmarkEnd w:id="77"/>
            <w:r>
              <w:rPr>
                <w:rFonts w:eastAsia="Times New Roman" w:cs="Calibri"/>
                <w:lang w:eastAsia="fr-FR"/>
              </w:rPr>
              <w:t>C</w:t>
            </w:r>
            <w:bookmarkStart w:id="78" w:name="__UnoMark__813_2749759877"/>
            <w:bookmarkEnd w:id="78"/>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9" w:name="__UnoMark__814_2749759877"/>
            <w:bookmarkEnd w:id="79"/>
            <w:r>
              <w:rPr>
                <w:rFonts w:eastAsia="Times New Roman" w:cs="Calibri"/>
                <w:lang w:eastAsia="fr-FR"/>
              </w:rPr>
              <w:t xml:space="preserve">Avoir des compétences de gestion des ressources financières. </w:t>
            </w:r>
            <w:bookmarkStart w:id="80" w:name="__UnoMark__815_2749759877"/>
            <w:bookmarkEnd w:id="8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1" w:name="__UnoMark__816_2749759877"/>
            <w:bookmarkEnd w:id="81"/>
            <w:r>
              <w:rPr>
                <w:rFonts w:eastAsia="Times New Roman" w:cs="Calibri"/>
                <w:lang w:eastAsia="fr-FR"/>
              </w:rPr>
              <w:t xml:space="preserve">B </w:t>
            </w:r>
            <w:bookmarkStart w:id="82" w:name="__UnoMark__817_2749759877"/>
            <w:bookmarkEnd w:id="8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3" w:name="__UnoMark__818_2749759877"/>
            <w:bookmarkEnd w:id="83"/>
            <w:r>
              <w:rPr>
                <w:rFonts w:eastAsia="Times New Roman" w:cs="Calibri"/>
                <w:lang w:eastAsia="fr-FR"/>
              </w:rPr>
              <w:t>C</w:t>
            </w:r>
            <w:bookmarkStart w:id="84" w:name="__UnoMark__819_2749759877"/>
            <w:bookmarkEnd w:id="84"/>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85" w:name="__UnoMark__820_2749759877"/>
            <w:bookmarkEnd w:id="85"/>
            <w:r>
              <w:rPr>
                <w:rFonts w:eastAsia="Times New Roman" w:cs="Calibri"/>
                <w:lang w:eastAsia="fr-FR"/>
              </w:rPr>
              <w:t xml:space="preserve">Avoir des compétences en gestion des ressources humaines. </w:t>
            </w:r>
            <w:bookmarkStart w:id="86" w:name="__UnoMark__821_2749759877"/>
            <w:bookmarkEnd w:id="86"/>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7" w:name="__UnoMark__822_2749759877"/>
            <w:bookmarkEnd w:id="87"/>
            <w:r>
              <w:rPr>
                <w:rFonts w:eastAsia="Times New Roman" w:cs="Calibri"/>
                <w:lang w:eastAsia="fr-FR"/>
              </w:rPr>
              <w:t>B</w:t>
            </w:r>
            <w:bookmarkStart w:id="88" w:name="__UnoMark__823_2749759877"/>
            <w:bookmarkEnd w:id="88"/>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9" w:name="__UnoMark__824_2749759877"/>
            <w:bookmarkEnd w:id="89"/>
            <w:r>
              <w:rPr>
                <w:rFonts w:eastAsia="Times New Roman" w:cs="Calibri"/>
                <w:lang w:eastAsia="fr-FR"/>
              </w:rPr>
              <w:t>C</w:t>
            </w:r>
            <w:bookmarkStart w:id="90" w:name="__UnoMark__825_2749759877"/>
            <w:bookmarkEnd w:id="90"/>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91" w:name="__UnoMark__826_2749759877"/>
            <w:bookmarkEnd w:id="91"/>
            <w:r>
              <w:rPr>
                <w:rFonts w:eastAsia="Times New Roman" w:cs="Calibri"/>
                <w:b/>
                <w:lang w:eastAsia="fr-FR"/>
              </w:rPr>
              <w:t>Communication</w:t>
            </w:r>
            <w:bookmarkStart w:id="92" w:name="__UnoMark__827_2749759877"/>
            <w:bookmarkEnd w:id="92"/>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3" w:name="__UnoMark__828_2749759877"/>
            <w:bookmarkEnd w:id="93"/>
            <w:r>
              <w:rPr>
                <w:rFonts w:eastAsia="Times New Roman" w:cs="Calibri"/>
                <w:lang w:eastAsia="fr-FR"/>
              </w:rPr>
              <w:t xml:space="preserve">Maitriser les techniques de la communication écrite. </w:t>
            </w:r>
            <w:bookmarkStart w:id="94" w:name="__UnoMark__829_2749759877"/>
            <w:bookmarkEnd w:id="9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5" w:name="__UnoMark__830_2749759877"/>
            <w:bookmarkEnd w:id="95"/>
            <w:r>
              <w:rPr>
                <w:rFonts w:eastAsia="Times New Roman" w:cs="Calibri"/>
                <w:lang w:eastAsia="fr-FR"/>
              </w:rPr>
              <w:t>C</w:t>
            </w:r>
            <w:bookmarkStart w:id="96" w:name="__UnoMark__831_2749759877"/>
            <w:bookmarkEnd w:id="9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7" w:name="__UnoMark__832_2749759877"/>
            <w:bookmarkEnd w:id="97"/>
            <w:r>
              <w:rPr>
                <w:rFonts w:eastAsia="Times New Roman" w:cs="Calibri"/>
                <w:lang w:eastAsia="fr-FR"/>
              </w:rPr>
              <w:t>D</w:t>
            </w:r>
            <w:bookmarkStart w:id="98" w:name="__UnoMark__833_2749759877"/>
            <w:bookmarkEnd w:id="98"/>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9" w:name="__UnoMark__834_2749759877"/>
            <w:bookmarkEnd w:id="99"/>
            <w:r>
              <w:rPr>
                <w:rFonts w:eastAsia="Times New Roman" w:cs="Calibri"/>
                <w:lang w:eastAsia="fr-FR"/>
              </w:rPr>
              <w:t xml:space="preserve">Maitriser les techniques de la communication orale. </w:t>
            </w:r>
            <w:bookmarkStart w:id="100" w:name="__UnoMark__835_2749759877"/>
            <w:bookmarkEnd w:id="10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1" w:name="__UnoMark__836_2749759877"/>
            <w:bookmarkEnd w:id="101"/>
            <w:r>
              <w:rPr>
                <w:rFonts w:eastAsia="Times New Roman" w:cs="Calibri"/>
                <w:lang w:eastAsia="fr-FR"/>
              </w:rPr>
              <w:t xml:space="preserve">C  </w:t>
            </w:r>
            <w:bookmarkStart w:id="102" w:name="__UnoMark__837_2749759877"/>
            <w:bookmarkEnd w:id="10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3" w:name="__UnoMark__838_2749759877"/>
            <w:bookmarkEnd w:id="103"/>
            <w:r>
              <w:rPr>
                <w:rFonts w:eastAsia="Times New Roman"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headerReference w:type="default" r:id="rId18"/>
          <w:footerReference w:type="default" r:id="rId19"/>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tc>
      </w:tr>
      <w:tr>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lang w:eastAsia="fr-FR"/>
              </w:rPr>
            </w:pPr>
            <w:r>
              <w:rPr>
                <w:rFonts w:eastAsia="Times New Roman" w:cs="Times New Roman"/>
                <w:b/>
                <w:lang w:eastAsia="fr-FR"/>
              </w:rPr>
              <w:t>Niveaux de maitrise</w:t>
            </w:r>
          </w:p>
          <w:p>
            <w:pPr>
              <w:numPr>
                <w:ilvl w:val="0"/>
                <w:numId w:val="3"/>
              </w:numPr>
              <w:tabs>
                <w:tab w:val="left" w:pos="1985"/>
              </w:tabs>
              <w:spacing w:after="0" w:line="240" w:lineRule="auto"/>
              <w:contextualSpacing/>
              <w:rPr>
                <w:rFonts w:ascii="Calibri" w:eastAsia="Times New Roman" w:hAnsi="Calibri" w:cs="Times New Roman"/>
                <w:b/>
                <w:lang w:eastAsia="fr-FR"/>
              </w:rPr>
            </w:pPr>
            <w:r>
              <w:rPr>
                <w:rFonts w:eastAsia="Times New Roman" w:cs="Times New Roman"/>
                <w:b/>
                <w:lang w:eastAsia="fr-FR"/>
              </w:rPr>
              <w:t>Aptitude à acquérir la compétence -&gt; avoir des notions théoriques</w:t>
            </w:r>
          </w:p>
          <w:p>
            <w:pPr>
              <w:numPr>
                <w:ilvl w:val="0"/>
                <w:numId w:val="3"/>
              </w:numPr>
              <w:tabs>
                <w:tab w:val="left" w:pos="1985"/>
              </w:tabs>
              <w:spacing w:after="0" w:line="240" w:lineRule="auto"/>
              <w:contextualSpacing/>
              <w:rPr>
                <w:rFonts w:ascii="Calibri" w:eastAsia="Times New Roman" w:hAnsi="Calibri" w:cs="Times New Roman"/>
                <w:b/>
                <w:lang w:eastAsia="fr-FR"/>
              </w:rPr>
            </w:pPr>
            <w:r>
              <w:rPr>
                <w:rFonts w:eastAsia="Times New Roman" w:cs="Times New Roman"/>
                <w:b/>
                <w:lang w:eastAsia="fr-FR"/>
              </w:rPr>
              <w:t>Élémentaire -&gt; agir de façon réactive, avec accompagnement</w:t>
            </w:r>
          </w:p>
          <w:p>
            <w:pPr>
              <w:numPr>
                <w:ilvl w:val="0"/>
                <w:numId w:val="3"/>
              </w:numPr>
              <w:tabs>
                <w:tab w:val="left" w:pos="1985"/>
              </w:tabs>
              <w:spacing w:after="0" w:line="240" w:lineRule="auto"/>
              <w:contextualSpacing/>
              <w:rPr>
                <w:rFonts w:ascii="Calibri" w:eastAsia="Times New Roman" w:hAnsi="Calibri" w:cs="Times New Roman"/>
                <w:b/>
                <w:lang w:eastAsia="fr-FR"/>
              </w:rPr>
            </w:pPr>
            <w:r>
              <w:rPr>
                <w:rFonts w:eastAsia="Times New Roman" w:cs="Times New Roman"/>
                <w:b/>
                <w:lang w:eastAsia="fr-FR"/>
              </w:rPr>
              <w:t>Intermédiaire -&gt; agir de façon proactive, autonome</w:t>
            </w:r>
          </w:p>
          <w:p>
            <w:pPr>
              <w:numPr>
                <w:ilvl w:val="0"/>
                <w:numId w:val="3"/>
              </w:numPr>
              <w:tabs>
                <w:tab w:val="left" w:pos="1985"/>
              </w:tabs>
              <w:spacing w:after="0" w:line="240" w:lineRule="auto"/>
              <w:contextualSpacing/>
              <w:rPr>
                <w:rFonts w:ascii="Calibri" w:eastAsia="Times New Roman" w:hAnsi="Calibri" w:cs="Times New Roman"/>
                <w:b/>
                <w:lang w:eastAsia="fr-FR"/>
              </w:rPr>
            </w:pPr>
            <w:r>
              <w:rPr>
                <w:rFonts w:eastAsia="Times New Roman" w:cs="Times New Roman"/>
                <w:b/>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 </w:t>
            </w:r>
          </w:p>
        </w:tc>
      </w:tr>
      <w:tr>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En 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À terme</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d'accompagner le changement.</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cs="Calibri"/>
                <w:lang w:val="fr-FR"/>
              </w:rPr>
              <w:t>Fournir des conseils à ses interlocuteurs et développer avec eux une relation de confiance basée sur ses expertises.</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eastAsia="Times New Roman" w:cs="Calibri"/>
                <w:lang w:val="fr-FR" w:eastAsia="fr-FR"/>
              </w:rPr>
            </w:pPr>
            <w:r>
              <w:rPr>
                <w:rFonts w:ascii="Calibri" w:hAnsi="Calibri" w:cs="Calibri"/>
              </w:rPr>
              <w:t>Définir les objectifs de manière pro active, étayer des plans d'actions de manière minutieuse en y impliquant des bonnes ressources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pPr>
        <w:shd w:val="clear" w:color="auto" w:fill="001D77"/>
        <w:spacing w:after="160" w:line="259" w:lineRule="auto"/>
        <w:jc w:val="center"/>
        <w:rPr>
          <w:rFonts w:cstheme="minorHAnsi"/>
          <w:sz w:val="28"/>
        </w:rPr>
      </w:pPr>
      <w:r>
        <w:rPr>
          <w:rFonts w:cstheme="minorHAnsi"/>
          <w:i/>
          <w:sz w:val="28"/>
        </w:rPr>
        <w:t>Compétences investiguées lors du Jury</w:t>
      </w:r>
    </w:p>
    <w:p>
      <w:pPr>
        <w:spacing w:after="160" w:line="259" w:lineRule="auto"/>
        <w:rPr>
          <w:rFonts w:cstheme="minorHAnsi"/>
        </w:rPr>
      </w:pPr>
      <w:r>
        <w:rPr>
          <w:rFonts w:cstheme="minorHAnsi"/>
        </w:rPr>
        <w:t xml:space="preserve">Voici un récapitulatif des compétences qui seront investiguées à l’entretien: </w:t>
      </w:r>
    </w:p>
    <w:tbl>
      <w:tblPr>
        <w:tblpPr w:leftFromText="141" w:rightFromText="141" w:vertAnchor="page" w:horzAnchor="margin" w:tblpY="3817"/>
        <w:tblW w:w="9067" w:type="dxa"/>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pPr>
        <w:jc w:val="both"/>
        <w:rPr>
          <w:rFonts w:cs="Arial"/>
          <w:b/>
          <w:szCs w:val="20"/>
        </w:rPr>
      </w:pPr>
      <w:r>
        <w:rPr>
          <w:rFonts w:cs="Arial"/>
          <w:b/>
          <w:szCs w:val="20"/>
        </w:rPr>
        <w:t>Il faut minimum 60% des points pour figurer dans le classement des lauréats potentiels (minimum de 60/100) soit : 81/135.</w:t>
      </w:r>
    </w:p>
    <w:p>
      <w:pPr>
        <w:tabs>
          <w:tab w:val="left" w:pos="3705"/>
        </w:tabs>
        <w:jc w:val="both"/>
        <w:rPr>
          <w:rFonts w:cs="Times New Roman"/>
        </w:rPr>
      </w:pPr>
      <w:r>
        <w:t xml:space="preserve">Le classement des lauréats sera établi sur base des résultats obtenus lors du jury. A égalité de points, la priorité sera donnée à la personne ayant obtenu le plus grand nombre de points à la partie « Innover </w:t>
      </w:r>
      <w:r>
        <w:rPr>
          <w:rFonts w:eastAsia="Times New Roman"/>
          <w:lang w:eastAsia="fr-FR"/>
        </w:rPr>
        <w:t>».</w:t>
      </w:r>
      <w:r>
        <w:t>  Si pour cette partie, des personnes ont des points égaux, leur classement sera établi de manière aléatoire.</w:t>
      </w:r>
    </w:p>
    <w:p>
      <w:pPr>
        <w:jc w:val="both"/>
        <w:rPr>
          <w:rFonts w:ascii="Verdana" w:hAnsi="Verdana"/>
        </w:rPr>
      </w:pPr>
    </w:p>
    <w:sectPr>
      <w:headerReference w:type="default" r:id="rId20"/>
      <w:footerReference w:type="default" r:id="rId21"/>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8" behindDoc="1" locked="0" layoutInCell="1" allowOverlap="1">
          <wp:simplePos x="0" y="0"/>
          <wp:positionH relativeFrom="margin">
            <wp:align>center</wp:align>
          </wp:positionH>
          <wp:positionV relativeFrom="paragraph">
            <wp:posOffset>-309880</wp:posOffset>
          </wp:positionV>
          <wp:extent cx="593725" cy="672465"/>
          <wp:effectExtent l="0" t="0" r="0" b="0"/>
          <wp:wrapNone/>
          <wp:docPr id="3"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Pr>
        <w:rFonts w:cs="Calibri"/>
        <w:noProof/>
        <w:sz w:val="18"/>
        <w:szCs w:val="18"/>
      </w:rPr>
      <w:t>6</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Pr>
        <w:rFonts w:cs="Calibri"/>
        <w:noProof/>
        <w:sz w:val="18"/>
        <w:szCs w:val="18"/>
      </w:rPr>
      <w:t>12</w:t>
    </w:r>
    <w:r>
      <w:rPr>
        <w:rFonts w:cs="Calibr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10" behindDoc="1" locked="0" layoutInCell="1" allowOverlap="1">
          <wp:simplePos x="0" y="0"/>
          <wp:positionH relativeFrom="margin">
            <wp:posOffset>2591806</wp:posOffset>
          </wp:positionH>
          <wp:positionV relativeFrom="paragraph">
            <wp:posOffset>-557075</wp:posOffset>
          </wp:positionV>
          <wp:extent cx="593725" cy="672465"/>
          <wp:effectExtent l="0" t="0" r="0" b="0"/>
          <wp:wrapNone/>
          <wp:docPr id="4"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5"/>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Pr>
        <w:rFonts w:cs="Calibri"/>
        <w:noProof/>
        <w:sz w:val="18"/>
        <w:szCs w:val="18"/>
      </w:rPr>
      <w:t>13</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Pr>
        <w:rFonts w:cs="Calibri"/>
        <w:noProof/>
        <w:sz w:val="18"/>
        <w:szCs w:val="18"/>
      </w:rPr>
      <w:t>14</w:t>
    </w:r>
    <w:r>
      <w:rPr>
        <w:rFonts w:cs="Calibri"/>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3" behindDoc="1" locked="0" layoutInCell="1" allowOverlap="1">
          <wp:simplePos x="0" y="0"/>
          <wp:positionH relativeFrom="margin">
            <wp:align>center</wp:align>
          </wp:positionH>
          <wp:positionV relativeFrom="paragraph">
            <wp:posOffset>-332740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Pr>
        <w:b/>
        <w:noProof/>
        <w:sz w:val="18"/>
      </w:rPr>
      <w:t>15</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Pr>
        <w:b/>
        <w:noProof/>
        <w:sz w:val="18"/>
      </w:rPr>
      <w:t>15</w:t>
    </w:r>
    <w:r>
      <w:rPr>
        <w:b/>
        <w:sz w:val="18"/>
      </w:rP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r>
      <w:rPr>
        <w:noProof/>
        <w:lang w:eastAsia="fr-BE"/>
      </w:rPr>
      <w:drawing>
        <wp:anchor distT="0" distB="0" distL="0" distR="0" simplePos="0" relativeHeight="9" behindDoc="1" locked="0" layoutInCell="1" allowOverlap="1">
          <wp:simplePos x="0" y="0"/>
          <wp:positionH relativeFrom="margin">
            <wp:align>center</wp:align>
          </wp:positionH>
          <wp:positionV relativeFrom="paragraph">
            <wp:posOffset>-95250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1"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Pr>
      <w:vertAlign w:val="superscript"/>
    </w:rPr>
  </w:style>
  <w:style w:type="character" w:styleId="Marquedecommentaire">
    <w:name w:val="annotation reference"/>
    <w:basedOn w:val="Policepardfaut"/>
    <w:uiPriority w:val="99"/>
    <w:semiHidden/>
    <w:unhideWhenUsed/>
    <w:qFormat/>
    <w:rPr>
      <w:sz w:val="16"/>
      <w:szCs w:val="16"/>
    </w:rPr>
  </w:style>
  <w:style w:type="character" w:customStyle="1" w:styleId="En-tteCar">
    <w:name w:val="En-tête Car"/>
    <w:basedOn w:val="Policepardfaut"/>
    <w:uiPriority w:val="99"/>
    <w:qFormat/>
  </w:style>
  <w:style w:type="character" w:customStyle="1" w:styleId="PieddepageCar">
    <w:name w:val="Pied de page Car"/>
    <w:basedOn w:val="Policepardfaut"/>
    <w:link w:val="Pieddepage"/>
    <w:uiPriority w:val="99"/>
    <w:qFormat/>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Pr>
      <w:color w:val="0563C1" w:themeColor="hyperlink"/>
      <w:u w:val="single"/>
    </w:rPr>
  </w:style>
  <w:style w:type="character" w:styleId="lev">
    <w:name w:val="Strong"/>
    <w:basedOn w:val="Policepardfaut"/>
    <w:uiPriority w:val="22"/>
    <w:qFormat/>
    <w:rPr>
      <w:b/>
      <w:bCs/>
    </w:rPr>
  </w:style>
  <w:style w:type="character" w:customStyle="1" w:styleId="TitreCar">
    <w:name w:val="Titre Car"/>
    <w:basedOn w:val="Policepardfaut"/>
    <w:link w:val="Titre"/>
    <w:uiPriority w:val="10"/>
    <w:qFormat/>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pPr>
      <w:tabs>
        <w:tab w:val="center" w:pos="4536"/>
        <w:tab w:val="right" w:pos="9072"/>
      </w:tabs>
      <w:spacing w:after="0" w:line="240" w:lineRule="auto"/>
    </w:pPr>
  </w:style>
  <w:style w:type="paragraph" w:styleId="Pieddepage">
    <w:name w:val="footer"/>
    <w:basedOn w:val="Normal"/>
    <w:link w:val="PieddepageCar"/>
    <w:unhideWhenUsed/>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78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lection.promotion@w-b-e.be"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s://www.w-b-e.be/jobs-carriere/evolution-de-carriere/emplois-vacan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lection.promotion@w-b-e.be"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s://arldv.be/"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image" Target="media/image1.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221F3D9-17D0-49A9-9D1F-98827023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4290</Words>
  <Characters>23600</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Secondaire</dc:creator>
  <dc:description/>
  <cp:lastModifiedBy>ETNIC</cp:lastModifiedBy>
  <cp:revision>2</cp:revision>
  <cp:lastPrinted>2020-09-16T15:26:00Z</cp:lastPrinted>
  <dcterms:created xsi:type="dcterms:W3CDTF">2020-11-13T10:19:00Z</dcterms:created>
  <dcterms:modified xsi:type="dcterms:W3CDTF">2020-11-13T10:19:00Z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